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C0" w:rsidRPr="009657B6" w:rsidRDefault="006A02C0" w:rsidP="006A0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9657B6">
        <w:rPr>
          <w:rFonts w:ascii="Times New Roman" w:hAnsi="Times New Roman" w:cs="Times New Roman"/>
          <w:b/>
          <w:sz w:val="24"/>
          <w:szCs w:val="24"/>
        </w:rPr>
        <w:t>Практична</w:t>
      </w:r>
      <w:proofErr w:type="gramEnd"/>
      <w:r w:rsidRPr="009657B6">
        <w:rPr>
          <w:rFonts w:ascii="Times New Roman" w:hAnsi="Times New Roman" w:cs="Times New Roman"/>
          <w:b/>
          <w:sz w:val="24"/>
          <w:szCs w:val="24"/>
        </w:rPr>
        <w:t xml:space="preserve"> робота № 4 </w:t>
      </w:r>
    </w:p>
    <w:p w:rsidR="006A02C0" w:rsidRPr="009657B6" w:rsidRDefault="00027387" w:rsidP="006A0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="006A02C0"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Добирання статистичних показників та оцінювання </w:t>
      </w:r>
      <w:proofErr w:type="spellStart"/>
      <w:r w:rsidR="006A02C0" w:rsidRPr="009657B6">
        <w:rPr>
          <w:rFonts w:ascii="Times New Roman" w:hAnsi="Times New Roman" w:cs="Times New Roman"/>
          <w:b/>
          <w:sz w:val="24"/>
          <w:szCs w:val="24"/>
          <w:lang w:val="uk-UA"/>
        </w:rPr>
        <w:t>працересурсного</w:t>
      </w:r>
      <w:proofErr w:type="spellEnd"/>
      <w:r w:rsidR="006A02C0"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потенціалу (кількості, динаміки, якості та ціни робочої сили) в одній з країн Європи.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sz w:val="24"/>
          <w:szCs w:val="24"/>
          <w:lang w:val="uk-UA"/>
        </w:rPr>
        <w:t>Клас: 10 (профільний рівень)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Навчальна: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поглиблення знань учнів про 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працересурсний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потенціал; сприяти формуванню в учнів формування понять «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працересурсний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387" w:rsidRPr="009657B6">
        <w:rPr>
          <w:rFonts w:ascii="Times New Roman" w:hAnsi="Times New Roman" w:cs="Times New Roman"/>
          <w:sz w:val="24"/>
          <w:szCs w:val="24"/>
          <w:lang w:val="uk-UA"/>
        </w:rPr>
        <w:t>потенціал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», «робоча сила», вдосконалювати вміння характеризувати показники кількості, динаміки та якості робочої сили;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Розвивальна</w:t>
      </w:r>
      <w:r w:rsidRPr="009657B6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навичок працювати з різними </w:t>
      </w:r>
      <w:r w:rsidR="00027387" w:rsidRPr="009657B6">
        <w:rPr>
          <w:rFonts w:ascii="Times New Roman" w:hAnsi="Times New Roman" w:cs="Times New Roman"/>
          <w:sz w:val="24"/>
          <w:szCs w:val="24"/>
          <w:lang w:val="uk-UA"/>
        </w:rPr>
        <w:t>джерелами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інформації, сприяти формуванню вмінь аналізувати, виділяти ознаки, порівнювати, робити висновки;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Виховна: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виховувати толерантне ставлення один до одного.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sz w:val="24"/>
          <w:szCs w:val="24"/>
          <w:lang w:val="uk-UA"/>
        </w:rPr>
        <w:t>Тип уроку: практична робота.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зошити для практичних робіт, статистичні дані населення Німеччини, атласи.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Очікуваний результат: 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Знаннєвий</w:t>
      </w:r>
      <w:proofErr w:type="spellEnd"/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компонент: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 розрізнює поняття «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працересурсний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потенціал», «робоча сила», «економічно активне населення», «природний приріст»; 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Діяльнісний компонент: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характеризує  особливості демографічних та урбанізаційних процесів, розміщення населення в 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країнах;проектує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вплив демографічних процесів на 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працересурсний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 країни;</w:t>
      </w:r>
    </w:p>
    <w:p w:rsidR="006A02C0" w:rsidRPr="009657B6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i/>
          <w:sz w:val="24"/>
          <w:szCs w:val="24"/>
          <w:lang w:val="uk-UA"/>
        </w:rPr>
        <w:t>Ціннісний компонент: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робить висновки про особливості </w:t>
      </w:r>
      <w:proofErr w:type="spellStart"/>
      <w:r w:rsidRPr="009657B6">
        <w:rPr>
          <w:rFonts w:ascii="Times New Roman" w:hAnsi="Times New Roman" w:cs="Times New Roman"/>
          <w:sz w:val="24"/>
          <w:szCs w:val="24"/>
          <w:lang w:val="uk-UA"/>
        </w:rPr>
        <w:t>працересурсного</w:t>
      </w:r>
      <w:proofErr w:type="spellEnd"/>
      <w:r w:rsidRPr="009657B6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потенціалу країни.</w:t>
      </w:r>
    </w:p>
    <w:p w:rsidR="006A02C0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57B6">
        <w:rPr>
          <w:rFonts w:ascii="Times New Roman" w:hAnsi="Times New Roman" w:cs="Times New Roman"/>
          <w:b/>
          <w:sz w:val="24"/>
          <w:szCs w:val="24"/>
          <w:lang w:val="uk-UA"/>
        </w:rPr>
        <w:t>«Екологічна безпека та сталий розвиток</w:t>
      </w:r>
      <w:r w:rsidRPr="009657B6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розуміння характеристики демографічних процесів певної країни для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працересурсного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потенціалу у межах сталого розвитку,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уміння застосовувати знання під час прогнозування наслідків впливу людини на природу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02C0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«Громадянська відповідальність»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ухвалення індивідуальних і колективних рішень, зважаючи на інтереси й потреби громадян, представників певної спільноти, суспільства та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02C0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«Здоров'я і безпека»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B187E">
        <w:rPr>
          <w:rFonts w:ascii="Times New Roman" w:hAnsi="Times New Roman" w:cs="Times New Roman"/>
          <w:sz w:val="24"/>
          <w:szCs w:val="24"/>
          <w:lang w:val="uk-UA"/>
        </w:rPr>
        <w:t>застосовування знань для оцінювання можливих позитивних і негативних наслідків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працересурсного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потенціалу певної країни.</w:t>
      </w:r>
    </w:p>
    <w:p w:rsidR="006A02C0" w:rsidRDefault="006A02C0" w:rsidP="006A02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87E">
        <w:rPr>
          <w:rFonts w:ascii="Times New Roman" w:hAnsi="Times New Roman" w:cs="Times New Roman"/>
          <w:b/>
          <w:sz w:val="24"/>
          <w:szCs w:val="24"/>
          <w:lang w:val="uk-UA"/>
        </w:rPr>
        <w:t>«Підприємливість та фінансова грамотність»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розуміє значення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працересурсного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потенціалу для розвитку економіки певної країни.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568"/>
        <w:gridCol w:w="1296"/>
      </w:tblGrid>
      <w:tr w:rsidR="006A02C0" w:rsidRPr="005B25EB" w:rsidTr="00A478F2">
        <w:trPr>
          <w:trHeight w:val="650"/>
        </w:trPr>
        <w:tc>
          <w:tcPr>
            <w:tcW w:w="959" w:type="dxa"/>
          </w:tcPr>
          <w:p w:rsidR="006A02C0" w:rsidRPr="005B25EB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уроку</w:t>
            </w:r>
          </w:p>
        </w:tc>
        <w:tc>
          <w:tcPr>
            <w:tcW w:w="7087" w:type="dxa"/>
          </w:tcPr>
          <w:p w:rsidR="006A02C0" w:rsidRPr="005B25EB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вчителя</w:t>
            </w:r>
          </w:p>
        </w:tc>
        <w:tc>
          <w:tcPr>
            <w:tcW w:w="1568" w:type="dxa"/>
          </w:tcPr>
          <w:p w:rsidR="006A02C0" w:rsidRPr="005B25EB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учнів</w:t>
            </w:r>
          </w:p>
        </w:tc>
        <w:tc>
          <w:tcPr>
            <w:tcW w:w="1296" w:type="dxa"/>
          </w:tcPr>
          <w:p w:rsidR="006A02C0" w:rsidRPr="005B25EB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Компетенції</w:t>
            </w:r>
          </w:p>
        </w:tc>
      </w:tr>
      <w:tr w:rsidR="006A02C0" w:rsidRPr="005B25EB" w:rsidTr="00A478F2">
        <w:trPr>
          <w:trHeight w:val="650"/>
        </w:trPr>
        <w:tc>
          <w:tcPr>
            <w:tcW w:w="959" w:type="dxa"/>
          </w:tcPr>
          <w:p w:rsidR="006A02C0" w:rsidRPr="003B187E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</w:t>
            </w:r>
            <w:r w:rsidRPr="003B18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момент</w:t>
            </w:r>
          </w:p>
        </w:tc>
        <w:tc>
          <w:tcPr>
            <w:tcW w:w="7087" w:type="dxa"/>
          </w:tcPr>
          <w:p w:rsidR="006A02C0" w:rsidRPr="005B25EB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класу до уроку. Назва теми практичної роботи.</w:t>
            </w:r>
          </w:p>
        </w:tc>
        <w:tc>
          <w:tcPr>
            <w:tcW w:w="1568" w:type="dxa"/>
          </w:tcPr>
          <w:p w:rsidR="006A02C0" w:rsidRPr="002741CE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уроку.</w:t>
            </w:r>
          </w:p>
        </w:tc>
        <w:tc>
          <w:tcPr>
            <w:tcW w:w="1296" w:type="dxa"/>
          </w:tcPr>
          <w:p w:rsidR="006A02C0" w:rsidRPr="002741CE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</w:t>
            </w:r>
          </w:p>
        </w:tc>
      </w:tr>
      <w:tr w:rsidR="006A02C0" w:rsidRPr="005B25EB" w:rsidTr="00A478F2">
        <w:trPr>
          <w:trHeight w:val="650"/>
        </w:trPr>
        <w:tc>
          <w:tcPr>
            <w:tcW w:w="959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Мотивація навчальної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</w:t>
            </w:r>
          </w:p>
        </w:tc>
        <w:tc>
          <w:tcPr>
            <w:tcW w:w="7087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Ознайомлення учнів з метою роботи. </w:t>
            </w: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Запитання: що таке економічно активне населення,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працересурсний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потенціал?</w:t>
            </w:r>
          </w:p>
        </w:tc>
        <w:tc>
          <w:tcPr>
            <w:tcW w:w="1568" w:type="dxa"/>
          </w:tcPr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Відповіді учнів. Економічно </w:t>
            </w:r>
            <w:proofErr w:type="spellStart"/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аквтине</w:t>
            </w:r>
            <w:proofErr w:type="spellEnd"/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 – 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особи віком від 17 до 65 років, які у даний час працюють або шукають роботу безробітні).</w:t>
            </w:r>
          </w:p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Працересурснии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D531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потенціал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 </w:t>
            </w:r>
            <w:proofErr w:type="spellStart"/>
            <w:r w:rsidRPr="00BD531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дієздатна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частина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населення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бути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зайняти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proofErr w:type="gram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ізних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сферах і видах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трудової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BD5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96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Основні компетентності у природничих 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науках і технологіях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(наукове розуміння демографічних понять)</w:t>
            </w:r>
          </w:p>
        </w:tc>
      </w:tr>
      <w:tr w:rsidR="006A02C0" w:rsidRPr="00363BA9" w:rsidTr="00A478F2">
        <w:trPr>
          <w:trHeight w:val="650"/>
        </w:trPr>
        <w:tc>
          <w:tcPr>
            <w:tcW w:w="959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ІІІ. Практична робота</w:t>
            </w:r>
          </w:p>
        </w:tc>
        <w:tc>
          <w:tcPr>
            <w:tcW w:w="7087" w:type="dxa"/>
          </w:tcPr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Побудувати стовпчасту діаграму динаміки кількості населення Німеччини, використовуючи дані таблиці. </w:t>
            </w:r>
          </w:p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Побудувати графік динаміки природного приросту населення Німеччини, використовуючи дані таблиці.</w:t>
            </w:r>
          </w:p>
          <w:p w:rsidR="006A02C0" w:rsidRPr="00BD531C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Розрахувати структуру зайнятості населення в різних галузях господарства у кількості осіб. Загальна кількість ЕАН населення Німеччини на 2017 рік складала 45,4 млн осіб. Якщо з них у сільському господарстві зайнято 1,4%, промисловості – 24,2%, сфері послуг – 74,4%.</w:t>
            </w: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Зробіть висновок.</w:t>
            </w:r>
            <w:r w:rsidR="0036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bookmarkStart w:id="0" w:name="_GoBack"/>
            <w:r w:rsidR="00363BA9" w:rsidRPr="00363B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додаток3</w:t>
            </w:r>
            <w:bookmarkEnd w:id="0"/>
            <w:r w:rsidR="0036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tbl>
            <w:tblPr>
              <w:tblStyle w:val="a3"/>
              <w:tblpPr w:leftFromText="180" w:rightFromText="180" w:vertAnchor="text" w:horzAnchor="margin" w:tblpY="301"/>
              <w:tblW w:w="6797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1459"/>
              <w:gridCol w:w="1880"/>
              <w:gridCol w:w="1376"/>
              <w:gridCol w:w="1386"/>
            </w:tblGrid>
            <w:tr w:rsidR="006A02C0" w:rsidRPr="009657B6" w:rsidTr="00A478F2">
              <w:trPr>
                <w:trHeight w:val="85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Рік</w:t>
                  </w: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Чисельність населення</w:t>
                  </w: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(млн. осіб)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Народжуваність</w:t>
                  </w: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(‰)</w:t>
                  </w: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Смертність</w:t>
                  </w: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(‰)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Природний приріст</w:t>
                  </w:r>
                </w:p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(‰)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2000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82,2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10,2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-0,9</w:t>
                  </w:r>
                </w:p>
              </w:tc>
            </w:tr>
            <w:tr w:rsidR="006A02C0" w:rsidRPr="009657B6" w:rsidTr="00A478F2">
              <w:trPr>
                <w:trHeight w:val="21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2001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82,4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8,9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10,1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-1,2</w:t>
                  </w:r>
                </w:p>
              </w:tc>
            </w:tr>
            <w:tr w:rsidR="006A02C0" w:rsidRPr="009657B6" w:rsidTr="00A478F2">
              <w:trPr>
                <w:trHeight w:val="21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2002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82,5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8,7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10,2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-1,5</w:t>
                  </w:r>
                </w:p>
              </w:tc>
            </w:tr>
            <w:tr w:rsidR="006A02C0" w:rsidRPr="009657B6" w:rsidTr="00A478F2">
              <w:trPr>
                <w:trHeight w:val="21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2003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82,5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8,6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10,3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-1,7</w:t>
                  </w:r>
                </w:p>
              </w:tc>
            </w:tr>
            <w:tr w:rsidR="006A02C0" w:rsidRPr="009657B6" w:rsidTr="00A478F2">
              <w:trPr>
                <w:trHeight w:val="21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2004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82,4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8,6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9,9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-1,3</w:t>
                  </w:r>
                </w:p>
              </w:tc>
            </w:tr>
            <w:tr w:rsidR="006A02C0" w:rsidRPr="009657B6" w:rsidTr="00A478F2">
              <w:trPr>
                <w:trHeight w:val="21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2005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82,5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10,1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-0,8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2006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82,3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8,2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-0,8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2007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82,0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10,1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-1,8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2008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82,1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10,3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-2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2009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81,9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8,1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10,4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-2,3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2010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81,7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10,5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-2,2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2011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80,2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8,3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10,6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-2,3</w:t>
                  </w:r>
                </w:p>
              </w:tc>
            </w:tr>
            <w:tr w:rsidR="006A02C0" w:rsidRPr="009657B6" w:rsidTr="00A478F2">
              <w:trPr>
                <w:trHeight w:val="220"/>
              </w:trPr>
              <w:tc>
                <w:tcPr>
                  <w:tcW w:w="69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2012</w:t>
                  </w:r>
                </w:p>
              </w:tc>
              <w:tc>
                <w:tcPr>
                  <w:tcW w:w="1459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80,3</w:t>
                  </w:r>
                </w:p>
              </w:tc>
              <w:tc>
                <w:tcPr>
                  <w:tcW w:w="1880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8,4</w:t>
                  </w:r>
                </w:p>
              </w:tc>
              <w:tc>
                <w:tcPr>
                  <w:tcW w:w="137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10,8</w:t>
                  </w:r>
                </w:p>
              </w:tc>
              <w:tc>
                <w:tcPr>
                  <w:tcW w:w="1386" w:type="dxa"/>
                </w:tcPr>
                <w:p w:rsidR="006A02C0" w:rsidRPr="009657B6" w:rsidRDefault="006A02C0" w:rsidP="00A47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657B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-2,4</w:t>
                  </w:r>
                </w:p>
              </w:tc>
            </w:tr>
          </w:tbl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</w:tcPr>
          <w:p w:rsidR="006A02C0" w:rsidRPr="002741CE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виконують практичну роботу.</w:t>
            </w:r>
          </w:p>
        </w:tc>
        <w:tc>
          <w:tcPr>
            <w:tcW w:w="1296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компетентності у природничих науках і технологіях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математична, і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ніціативність і підприємливість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D5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</w:tr>
      <w:tr w:rsidR="006A02C0" w:rsidRPr="005B25EB" w:rsidTr="00A478F2">
        <w:trPr>
          <w:trHeight w:val="650"/>
        </w:trPr>
        <w:tc>
          <w:tcPr>
            <w:tcW w:w="959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82C830" wp14:editId="1E46D359">
                  <wp:extent cx="3814593" cy="2228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366" cy="223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26C531" wp14:editId="5067A3B2">
                  <wp:extent cx="4219575" cy="2226166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749" cy="2228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</w:tcPr>
          <w:p w:rsidR="006A02C0" w:rsidRPr="002741CE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6A02C0" w:rsidRDefault="006A02C0" w:rsidP="00A478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4173" w:rsidRPr="005B25EB" w:rsidTr="00A478F2">
        <w:trPr>
          <w:trHeight w:val="650"/>
        </w:trPr>
        <w:tc>
          <w:tcPr>
            <w:tcW w:w="959" w:type="dxa"/>
          </w:tcPr>
          <w:p w:rsidR="00684173" w:rsidRPr="00EF483A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Фізхвилинка</w:t>
            </w:r>
            <w:proofErr w:type="spellEnd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7" w:type="dxa"/>
          </w:tcPr>
          <w:p w:rsidR="00684173" w:rsidRPr="00EF483A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для шиї, пальчикова гімнастика.</w:t>
            </w:r>
          </w:p>
        </w:tc>
        <w:tc>
          <w:tcPr>
            <w:tcW w:w="1568" w:type="dxa"/>
          </w:tcPr>
          <w:p w:rsidR="00684173" w:rsidRPr="00EF483A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виконують вправи разом з вчителем.</w:t>
            </w:r>
          </w:p>
        </w:tc>
        <w:tc>
          <w:tcPr>
            <w:tcW w:w="1296" w:type="dxa"/>
          </w:tcPr>
          <w:p w:rsidR="00684173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 </w:t>
            </w:r>
            <w:r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Екологічна грамотність і здорове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життя: Здатність і бажання дотримуватися здорового способу життя в умовах сталого розвитку.</w:t>
            </w:r>
          </w:p>
          <w:p w:rsidR="00684173" w:rsidRPr="00EF483A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4173" w:rsidRPr="005B25EB" w:rsidTr="00A478F2">
        <w:trPr>
          <w:trHeight w:val="650"/>
        </w:trPr>
        <w:tc>
          <w:tcPr>
            <w:tcW w:w="959" w:type="dxa"/>
          </w:tcPr>
          <w:p w:rsidR="00684173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ІV.Підбиття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підсумків роботи</w:t>
            </w:r>
          </w:p>
        </w:tc>
        <w:tc>
          <w:tcPr>
            <w:tcW w:w="7087" w:type="dxa"/>
          </w:tcPr>
          <w:p w:rsidR="00684173" w:rsidRPr="00AE36A8" w:rsidRDefault="00684173" w:rsidP="00151FF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Висновки роботи.</w:t>
            </w:r>
          </w:p>
        </w:tc>
        <w:tc>
          <w:tcPr>
            <w:tcW w:w="1568" w:type="dxa"/>
          </w:tcPr>
          <w:p w:rsidR="00684173" w:rsidRPr="002741CE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684173" w:rsidRDefault="00684173" w:rsidP="00151F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вчитися впродовж життя.</w:t>
            </w:r>
          </w:p>
        </w:tc>
      </w:tr>
    </w:tbl>
    <w:p w:rsidR="006A02C0" w:rsidRPr="00BD531C" w:rsidRDefault="006A02C0" w:rsidP="006A0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3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4D5F" w:rsidRDefault="007B4D5F"/>
    <w:sectPr w:rsidR="007B4D5F" w:rsidSect="006A02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C0"/>
    <w:rsid w:val="00027387"/>
    <w:rsid w:val="00200725"/>
    <w:rsid w:val="00363BA9"/>
    <w:rsid w:val="00684173"/>
    <w:rsid w:val="006A02C0"/>
    <w:rsid w:val="007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2018-11-26T18:55:00Z</dcterms:created>
  <dcterms:modified xsi:type="dcterms:W3CDTF">2018-11-28T16:03:00Z</dcterms:modified>
</cp:coreProperties>
</file>